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0D1C">
        <w:rPr>
          <w:rFonts w:ascii="Times New Roman" w:hAnsi="Times New Roman" w:cs="Times New Roman"/>
          <w:b/>
          <w:color w:val="0070C0"/>
          <w:sz w:val="24"/>
          <w:szCs w:val="24"/>
        </w:rPr>
        <w:t>РОССИЙСКАЯ ФЕДЕРАЦИЯ</w:t>
      </w: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0D1C">
        <w:rPr>
          <w:rFonts w:ascii="Times New Roman" w:hAnsi="Times New Roman" w:cs="Times New Roman"/>
          <w:b/>
          <w:color w:val="0070C0"/>
          <w:sz w:val="24"/>
          <w:szCs w:val="24"/>
        </w:rPr>
        <w:t>ПРОЕКТ ФЕДЕРАЛЬНОГО ЗАКОНА</w:t>
      </w: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0D1C">
        <w:rPr>
          <w:rFonts w:ascii="Times New Roman" w:hAnsi="Times New Roman" w:cs="Times New Roman"/>
          <w:b/>
          <w:color w:val="0070C0"/>
          <w:sz w:val="24"/>
          <w:szCs w:val="24"/>
        </w:rPr>
        <w:t>О ВНЕСЕНИИ ИЗМЕНЕНИЙ В ФЕДЕРАЛЬНЫЙ ЗАКОН</w:t>
      </w: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0D1C">
        <w:rPr>
          <w:rFonts w:ascii="Times New Roman" w:hAnsi="Times New Roman" w:cs="Times New Roman"/>
          <w:b/>
          <w:color w:val="0070C0"/>
          <w:sz w:val="24"/>
          <w:szCs w:val="24"/>
        </w:rPr>
        <w:t>"ТЕХНИЧЕСКИЙ РЕГЛАМЕНТ О ТРЕБОВАНИЯХ</w:t>
      </w:r>
    </w:p>
    <w:p w:rsidR="006450BB" w:rsidRPr="00C90D1C" w:rsidRDefault="006450BB" w:rsidP="006450B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0D1C">
        <w:rPr>
          <w:rFonts w:ascii="Times New Roman" w:hAnsi="Times New Roman" w:cs="Times New Roman"/>
          <w:b/>
          <w:color w:val="0070C0"/>
          <w:sz w:val="24"/>
          <w:szCs w:val="24"/>
        </w:rPr>
        <w:t>ПОЖАРНОЙ БЕЗОПАСНОСТИ"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BB" w:rsidRPr="006450BB" w:rsidRDefault="006450BB" w:rsidP="006450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50BB">
        <w:rPr>
          <w:rFonts w:ascii="Times New Roman" w:hAnsi="Times New Roman" w:cs="Times New Roman"/>
          <w:i/>
          <w:sz w:val="24"/>
          <w:szCs w:val="24"/>
        </w:rPr>
        <w:t xml:space="preserve">Вносится Правительством </w:t>
      </w:r>
    </w:p>
    <w:p w:rsidR="006450BB" w:rsidRPr="006450BB" w:rsidRDefault="006450BB" w:rsidP="006450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50BB">
        <w:rPr>
          <w:rFonts w:ascii="Times New Roman" w:hAnsi="Times New Roman" w:cs="Times New Roman"/>
          <w:i/>
          <w:sz w:val="24"/>
          <w:szCs w:val="24"/>
        </w:rPr>
        <w:t>Российской Федерации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Внести в Федеральный закон от 22 июля 2008 года № 123-ФЗ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2008, № 30, ст. 3579;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2012, № 29, ст. 3997; 2013, № 27, ст. 3477) следующие изменения: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1 )в части 1 статьи 1 слово "промышленным" заменить словом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"производственным";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2) статью 2 дополнить пунктом 271 следующего содержания: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"271) пожарная секция - часть пожарного отсека, выделенная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противопожарными преградами;";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3) предложение первое части 4 статьи 4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", по которым указанные объекты защиты были запроектированы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построены";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4) дополнить статьей 6 1 следующего содержания:</w:t>
      </w:r>
    </w:p>
    <w:p w:rsid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"Статья 61. Идентификация объектов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1. Идентификацию здания, сооружения, производственного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проводят путем установления их соответствия следующим признакам: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1) класс функциональной пожарной опасности;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2) степень огнестойкости, класс конструктивной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опасности;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3) категория наружных установок по пожарной 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категория зданий, сооружений и помещений по пожарной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взрывопожарной опасности (для производственных объектов).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2. Идентификацию пожарно-технической продукции и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общего назначения проводят путем установления ее соответствия образцу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(или) признакам (описанию), установленным в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(сопроводительной) документации, в том числе: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2) пожарно-техническая классификация;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3) назначение и область применения;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4) технические характеристики, состав (комплектация);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5) маркировка продукции.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3. Идентификация выполняется: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1) застройщиком и (или) техническим заказчиком и (или)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осуществляющим подготовку проектной документации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архитектурно-строительном проектировании, строительстве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реконструкции зданий и сооружений, в том числе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производственным объектам;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lastRenderedPageBreak/>
        <w:t>2) собственником объекта защиты или лицом, которому объект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принадлежит на праве хозяйственного ведения, праве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управления либо договоре или ином законном основании,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федеральным законом при эксплуатации зданий, 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производственных объектов;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3) изготовителем или импортером продукции;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4) органами, уполномоченными на осуществление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контроля (надзора);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5) органом по сертификации, определенным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Федеральным законом "О техническом регулировании.";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5) часть 12 статьи 13 после слова "покрытий"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", кровельных, гидроизоляционных и пароизоляционных материалов";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6) в пункте 4 части 1 статьи 19 слово "воспламенения" заменить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словами "распространения пламени";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7) пункт 3 части 1 статьи 32 дополнить подпунктом "ж"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"ж) Ф3.7 - объекты религиозного назначения;";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8) часть 2 статьи 36 признать утратившей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9) пункт 5 части 1 статьи 37 дополнить словами "(экранные стены)";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10) статью 43 дополнить пунктом следующего содержания: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"5) генераторные огнетушители аэрозольные переносные.";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11) в пункте 3 части 1 статьи 50 слова ", исключающих образование"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заменить словами "с защитой от";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12) в пункте 2 статьи 59 слово "этажности" 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"этажности (высоты)";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13) статью 64 изложить в следующей редакции:</w:t>
      </w:r>
    </w:p>
    <w:p w:rsid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"Статья 64. Требования к декларации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1. Декларация пожарной безопасности составляется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здания, сооружения, производственного объекта, для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деятельности предусмотрено проведение экспертизы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документации (за исключением зданий классов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пожарной опасности Ф1.3, Ф1.4), а также в отношении зданий (частей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зданий) класса функциональной пожарной опасности Ф 1.1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1) оценку пожарного риска (если проводится расчет риска);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2) оценку возможного ущерба имуществу третьих лиц от пожара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(может быть проведена в рамках добровольного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ответственности за ущерб третьим лицам от воздействия пожара).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2. Для оценки соответствия требованиям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объекта защиты с количеством этажей не более чем два, общая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которого составляет не более чем 1500 квадратных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(за исключением зданий классов функциональной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опасности Ф1.1, Ф1.3, Ф1.4, Ф4.1, Ф4.2), собственник объекта защиты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лицо, владеющее объектом защиты на праве хозяйственного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оперативного управления либо на ином законном основании,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предусмотренном федеральным законом или договором,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добровольно составить декларацию пожарной безопасности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этих объектов, которая предусматривает в том числе сведения о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противопожарной защиты объекта.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lastRenderedPageBreak/>
        <w:t>3. В случае изменения сведений, в том числе в случае 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собственника или иного лица, владеющего объектом защиты на законном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основании, изменения функционального назначения либо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ремонта, реконструкции или технического перевооружения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защиты, уточненные декларации пожарной безопасности, составленные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соответствии с частями 1 и 2 настоящей статьи, предоставляются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течение одного года со дня изменения в них сведений.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4. При составлении декларации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соответствии с частями 1 и 2 настоящей статьи в отношении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защиты, для которых установлены требования технических регламентов,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принятых в соответствии с Федеральным законом "О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регулировании", и нормативных документов по пожарной безопасности,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декларации указывается перечень статей (частей, пунктов)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450BB">
        <w:rPr>
          <w:rFonts w:ascii="Times New Roman" w:hAnsi="Times New Roman" w:cs="Times New Roman"/>
          <w:sz w:val="24"/>
          <w:szCs w:val="24"/>
        </w:rPr>
        <w:t>ребования которых установлены и выполнены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соответствующего объекта защиты.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5. Лицо, представившее декларацию пожарной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составленную в соответствии с частями 1 и 2 настоящей статьи,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содержащихся в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сведений в соответствии с законодательством Российской Федерации.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6. Форма и порядок регистрации декларации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безопасности, составленной в соответствии с частями 1 и 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статьи, утверждаются федеральным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уполномоченным на решение задач в области пожарной безопасности.";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14) в статье 66: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а) последнее предложение части 1 признать утратившим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б) часть 4 признать утратившей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15) часть 1 статьи 69 изложить в следующей редакции: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 1. Противопожарные расстояния между зданиями, сооружениями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должны обеспечивать нераспространение пожара на соседние 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сооружения.</w:t>
      </w:r>
    </w:p>
    <w:p w:rsidR="006450BB" w:rsidRPr="006450BB" w:rsidRDefault="006450BB" w:rsidP="00645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Противопожарные расстояния между зданиями, сооружениями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 xml:space="preserve">устанавливаются проектной организацией в зависимости от </w:t>
      </w:r>
      <w:proofErr w:type="spellStart"/>
      <w:r w:rsidRPr="006450BB">
        <w:rPr>
          <w:rFonts w:ascii="Times New Roman" w:hAnsi="Times New Roman" w:cs="Times New Roman"/>
          <w:sz w:val="24"/>
          <w:szCs w:val="24"/>
        </w:rPr>
        <w:t>пожарно­технических</w:t>
      </w:r>
      <w:proofErr w:type="spellEnd"/>
      <w:r w:rsidRPr="006450BB">
        <w:rPr>
          <w:rFonts w:ascii="Times New Roman" w:hAnsi="Times New Roman" w:cs="Times New Roman"/>
          <w:sz w:val="24"/>
          <w:szCs w:val="24"/>
        </w:rPr>
        <w:t xml:space="preserve"> классификаций или в зависимости от допустимых величин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(критических значений) воздействия опасных факторов пожара.";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16) статьи 70, 71, 73 и 74 признать утратившими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17) часть 2 статьи 77 признать утратившей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18) в пункте 2 части 5 статьи 89 слова "категорий В4" заменить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словами "категорий В1 - В4";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19) часть 4 статьи 98 изложить в следующей редакции: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"4. К зданиям и сооружениям по всей их длине (за исключением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линейных объектов) должен быть обеспечен подъезд (доставка)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мобильных средств пожаротушения с одной стороны при ширине здания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или сооружения не более 18 метров и с двух сторон при ширине более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18 метров, а также при устройстве замкнутых и полузамкнутых дворов.";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20) в статье 100: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а) часть 3 после слов "резервуаров с" дополнить словами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"сжиженными горючими газами,";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б) части 5 - 9 и 11 признать утратившими силу;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lastRenderedPageBreak/>
        <w:t>21) в части 4 статьи 134 слова "полы следует выполнять из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негорючих материалов или материалов группы горючести П " заменить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словами "покрытия полов должны иметь класс пожарной опасности не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выше чем КМ1";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22) часть 6 статьи 138 изложить в следующей редакции: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 xml:space="preserve">"6. </w:t>
      </w:r>
      <w:proofErr w:type="spellStart"/>
      <w:r w:rsidRPr="006450BB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6450BB">
        <w:rPr>
          <w:rFonts w:ascii="Times New Roman" w:hAnsi="Times New Roman" w:cs="Times New Roman"/>
          <w:sz w:val="24"/>
          <w:szCs w:val="24"/>
        </w:rPr>
        <w:t xml:space="preserve"> экраны (шторы, занавесы) должны быть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оборудованы автоматическими и дистанционно управляемыми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приводами (без термоэлементов). Рабочая длина выпуска таких экранов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должна быть не менее толщины образующегося при пожаре в помещении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 xml:space="preserve">дымового слоя. Основа рабочих полотен </w:t>
      </w:r>
      <w:proofErr w:type="spellStart"/>
      <w:r w:rsidRPr="006450BB">
        <w:rPr>
          <w:rFonts w:ascii="Times New Roman" w:hAnsi="Times New Roman" w:cs="Times New Roman"/>
          <w:sz w:val="24"/>
          <w:szCs w:val="24"/>
        </w:rPr>
        <w:t>противодымных</w:t>
      </w:r>
      <w:proofErr w:type="spellEnd"/>
      <w:r w:rsidRPr="006450BB">
        <w:rPr>
          <w:rFonts w:ascii="Times New Roman" w:hAnsi="Times New Roman" w:cs="Times New Roman"/>
          <w:sz w:val="24"/>
          <w:szCs w:val="24"/>
        </w:rPr>
        <w:t xml:space="preserve"> экранов должна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выполняться из негорючих материалов.";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23) части 1, 3 и 4 статьи 140 признать утратившими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24) главу 32 признать утратившей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25) статью 146 дополнить частью 14 следующего содержания: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"14. Подтверждение соответствия продукции требованиям пожарной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безопасности строительных материалов, имеющих предельные (наиболее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опасные) значения показателей пожарной опасности, может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осуществляться по схеме 1д. Информация об этих показателях должна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быть приведена в технической и сопроводительной документации на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данную продукцию.";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26) часть 1 статьи 151 признать утратившей силу;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27) в приложении: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а) таблицы 6, 12 - 15, 17-20 исключить;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б) в таблице 24 слова "Двери шахт лифтов" заменить словами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"Двери шахт лифтов при условии, что к ним устанавливаются требования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по пределам огнестойкости";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в) в таблице 27:</w:t>
      </w:r>
    </w:p>
    <w:p w:rsidR="006450BB" w:rsidRPr="006450BB" w:rsidRDefault="006450BB" w:rsidP="00C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в позиции, касающейся кровельных материалов, в графе "группа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горючести" знак "+" заменить знаком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в позиции, касающейся гидроизоляционных и пароизоляционных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материалов толщиной более 0,2 миллиметра, в графе "группа горючести"</w:t>
      </w:r>
      <w:r w:rsidR="00C90D1C">
        <w:rPr>
          <w:rFonts w:ascii="Times New Roman" w:hAnsi="Times New Roman" w:cs="Times New Roman"/>
          <w:sz w:val="24"/>
          <w:szCs w:val="24"/>
        </w:rPr>
        <w:t xml:space="preserve"> </w:t>
      </w:r>
      <w:r w:rsidRPr="006450BB">
        <w:rPr>
          <w:rFonts w:ascii="Times New Roman" w:hAnsi="Times New Roman" w:cs="Times New Roman"/>
          <w:sz w:val="24"/>
          <w:szCs w:val="24"/>
        </w:rPr>
        <w:t>знак "+" заменить знаком</w:t>
      </w:r>
      <w:r w:rsidR="00C90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D1C" w:rsidRDefault="00C90D1C" w:rsidP="006450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Президент</w:t>
      </w:r>
    </w:p>
    <w:p w:rsidR="006450BB" w:rsidRPr="006450BB" w:rsidRDefault="006450BB" w:rsidP="00645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0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sectPr w:rsidR="006450BB" w:rsidRPr="006450BB" w:rsidSect="00DD3BF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5D2" w:rsidRDefault="007235D2" w:rsidP="00C90D1C">
      <w:pPr>
        <w:spacing w:after="0" w:line="240" w:lineRule="auto"/>
      </w:pPr>
      <w:r>
        <w:separator/>
      </w:r>
    </w:p>
  </w:endnote>
  <w:endnote w:type="continuationSeparator" w:id="0">
    <w:p w:rsidR="007235D2" w:rsidRDefault="007235D2" w:rsidP="00C9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45963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2599934"/>
          <w:docPartObj>
            <w:docPartGallery w:val="Page Numbers (Top of Page)"/>
            <w:docPartUnique/>
          </w:docPartObj>
        </w:sdtPr>
        <w:sdtContent>
          <w:p w:rsidR="00C90D1C" w:rsidRPr="00C90D1C" w:rsidRDefault="00C90D1C">
            <w:pPr>
              <w:pStyle w:val="a5"/>
              <w:jc w:val="right"/>
              <w:rPr>
                <w:sz w:val="20"/>
                <w:szCs w:val="20"/>
              </w:rPr>
            </w:pPr>
            <w:r w:rsidRPr="00C90D1C">
              <w:rPr>
                <w:sz w:val="20"/>
                <w:szCs w:val="20"/>
              </w:rPr>
              <w:t xml:space="preserve">Страница </w:t>
            </w:r>
            <w:r w:rsidRPr="00C90D1C">
              <w:rPr>
                <w:sz w:val="20"/>
                <w:szCs w:val="20"/>
              </w:rPr>
              <w:fldChar w:fldCharType="begin"/>
            </w:r>
            <w:r w:rsidRPr="00C90D1C">
              <w:rPr>
                <w:sz w:val="20"/>
                <w:szCs w:val="20"/>
              </w:rPr>
              <w:instrText>PAGE</w:instrText>
            </w:r>
            <w:r w:rsidRPr="00C90D1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Pr="00C90D1C">
              <w:rPr>
                <w:sz w:val="20"/>
                <w:szCs w:val="20"/>
              </w:rPr>
              <w:fldChar w:fldCharType="end"/>
            </w:r>
            <w:r w:rsidRPr="00C90D1C">
              <w:rPr>
                <w:sz w:val="20"/>
                <w:szCs w:val="20"/>
              </w:rPr>
              <w:t xml:space="preserve"> из </w:t>
            </w:r>
            <w:r w:rsidRPr="00C90D1C">
              <w:rPr>
                <w:sz w:val="20"/>
                <w:szCs w:val="20"/>
              </w:rPr>
              <w:fldChar w:fldCharType="begin"/>
            </w:r>
            <w:r w:rsidRPr="00C90D1C">
              <w:rPr>
                <w:sz w:val="20"/>
                <w:szCs w:val="20"/>
              </w:rPr>
              <w:instrText>NUMPAGES</w:instrText>
            </w:r>
            <w:r w:rsidRPr="00C90D1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</w:t>
            </w:r>
            <w:r w:rsidRPr="00C90D1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C90D1C" w:rsidRDefault="00C90D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5D2" w:rsidRDefault="007235D2" w:rsidP="00C90D1C">
      <w:pPr>
        <w:spacing w:after="0" w:line="240" w:lineRule="auto"/>
      </w:pPr>
      <w:r>
        <w:separator/>
      </w:r>
    </w:p>
  </w:footnote>
  <w:footnote w:type="continuationSeparator" w:id="0">
    <w:p w:rsidR="007235D2" w:rsidRDefault="007235D2" w:rsidP="00C9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1C" w:rsidRDefault="00C90D1C">
    <w:pPr>
      <w:pStyle w:val="a3"/>
    </w:pPr>
    <w:r>
      <w:rPr>
        <w:noProof/>
        <w:lang w:eastAsia="ru-RU"/>
      </w:rPr>
      <w:drawing>
        <wp:inline distT="0" distB="0" distL="0" distR="0">
          <wp:extent cx="5940425" cy="488128"/>
          <wp:effectExtent l="19050" t="0" r="317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1C" w:rsidRDefault="00C90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BB"/>
    <w:rsid w:val="006450BB"/>
    <w:rsid w:val="007235D2"/>
    <w:rsid w:val="00C90D1C"/>
    <w:rsid w:val="00D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1C"/>
  </w:style>
  <w:style w:type="paragraph" w:styleId="a5">
    <w:name w:val="footer"/>
    <w:basedOn w:val="a"/>
    <w:link w:val="a6"/>
    <w:uiPriority w:val="99"/>
    <w:unhideWhenUsed/>
    <w:rsid w:val="00C9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1C"/>
  </w:style>
  <w:style w:type="paragraph" w:styleId="a7">
    <w:name w:val="Balloon Text"/>
    <w:basedOn w:val="a"/>
    <w:link w:val="a8"/>
    <w:uiPriority w:val="99"/>
    <w:semiHidden/>
    <w:unhideWhenUsed/>
    <w:rsid w:val="00C9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50624"/>
    <w:rsid w:val="001351D3"/>
    <w:rsid w:val="00C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08328F91E646A8AE207EE9E43E43E9">
    <w:name w:val="CB08328F91E646A8AE207EE9E43E43E9"/>
    <w:rsid w:val="00C506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aRmeec</dc:creator>
  <cp:lastModifiedBy>aRmeec</cp:lastModifiedBy>
  <cp:revision>1</cp:revision>
  <dcterms:created xsi:type="dcterms:W3CDTF">2016-05-26T07:12:00Z</dcterms:created>
  <dcterms:modified xsi:type="dcterms:W3CDTF">2016-05-26T07:26:00Z</dcterms:modified>
</cp:coreProperties>
</file>